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054A3EE8" w:rsidR="005470A7" w:rsidRDefault="00235194">
                            <w:r>
                              <w:t xml:space="preserve">Each year, Newington releases a publication of creative works that are written, drawn, or taken by boys throughout the year. </w:t>
                            </w:r>
                            <w:r w:rsidR="004457EB">
                              <w:t>The publication is called the New Enigma, and each year the head of the library asks for boys to come and help edit the New Enigma, which is what I’ll be doing this year. We meet every second Tuesday in the library to discuss works that have been given to us as well as possible edits we can make to them. In term 3, we’ll begin to design the physical book itself, with the design representing the focus of the New Enigma for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054A3EE8" w:rsidR="005470A7" w:rsidRDefault="00235194">
                      <w:r>
                        <w:t xml:space="preserve">Each year, Newington releases a publication of creative works that are written, drawn, or taken by boys throughout the year. </w:t>
                      </w:r>
                      <w:r w:rsidR="004457EB">
                        <w:t>The publication is called the New Enigma, and each year the head of the library asks for boys to come and help edit the New Enigma, which is what I’ll be doing this year. We meet every second Tuesday in the library to discuss works that have been given to us as well as possible edits we can make to them. In term 3, we’ll begin to design the physical book itself, with the design representing the focus of the New Enigma for the year.</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45FE7CB8" w:rsidR="00450CFB" w:rsidRPr="00450CFB" w:rsidRDefault="00B97FE2"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This activity is actually something that I wouldn’t usually be drawn to, so I’m doing it purely to try something new that I might be interested in or something that should develop my creativity.</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3ABD1B4E" w:rsidR="00450CFB" w:rsidRPr="00450CFB" w:rsidRDefault="004941D5" w:rsidP="00EE7366">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As I mentioned above, doing </w:t>
            </w:r>
            <w:r w:rsidR="00EE7366">
              <w:t>an activity</w:t>
            </w:r>
            <w:r>
              <w:t xml:space="preserve"> like this is something new to me, so it gives me plenty of areas for growth. </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1D3F2F59" w:rsidR="00450CFB" w:rsidRPr="00450CFB" w:rsidRDefault="007B5342"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It does not address a particular need, as Newington doesn’t ‘need’ a publication of creative works, but it’s a good thing they’ve done in the past</w:t>
            </w:r>
            <w:r w:rsidR="00055204">
              <w:t xml:space="preserve"> and something that should be continued.</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3E73A08C" w:rsidR="008A387D" w:rsidRPr="00450CFB" w:rsidRDefault="004457EB"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is organised completely through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4FAA5B80" w:rsidR="00450CFB" w:rsidRDefault="00F2647C" w:rsidP="00010103">
            <w:pPr>
              <w:spacing w:before="60" w:after="60"/>
              <w:cnfStyle w:val="000000100000" w:firstRow="0" w:lastRow="0" w:firstColumn="0" w:lastColumn="0" w:oddVBand="0" w:evenVBand="0" w:oddHBand="1" w:evenHBand="0" w:firstRowFirstColumn="0" w:firstRowLastColumn="0" w:lastRowFirstColumn="0" w:lastRowLastColumn="0"/>
            </w:pPr>
            <w:r>
              <w:t>As a student, it’s my responsibility to try and get as many boys writing pieces or handing in pieces they’ve already written for the New Enigma. After that, we’ll have to go through the pieces we’ve received and start editing them and giving feedback to the writers of each of the pieces.</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5A7943DB" w:rsidR="00450CFB" w:rsidRDefault="00F2647C" w:rsidP="00010103">
            <w:pPr>
              <w:spacing w:before="60" w:after="60"/>
              <w:cnfStyle w:val="000000000000" w:firstRow="0" w:lastRow="0" w:firstColumn="0" w:lastColumn="0" w:oddVBand="0" w:evenVBand="0" w:oddHBand="0" w:evenHBand="0" w:firstRowFirstColumn="0" w:firstRowLastColumn="0" w:lastRowFirstColumn="0" w:lastRowLastColumn="0"/>
            </w:pPr>
            <w:r>
              <w:t xml:space="preserve">On top of the scheduled fortnightly meetings, I plan on working on getting pieces at least one day each week. This would be through e-mailing boys or just asking them in </w:t>
            </w:r>
            <w:r>
              <w:lastRenderedPageBreak/>
              <w:t xml:space="preserve">person. Doing it in English </w:t>
            </w:r>
            <w:r w:rsidR="004E3599">
              <w:t xml:space="preserve">class </w:t>
            </w:r>
            <w:r>
              <w:t>would probably be most effective as that’s where everyone would have something.</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lastRenderedPageBreak/>
              <w:t>What skills will you need to undertake this activity?</w:t>
            </w:r>
          </w:p>
        </w:tc>
        <w:tc>
          <w:tcPr>
            <w:tcW w:w="5341" w:type="dxa"/>
          </w:tcPr>
          <w:p w14:paraId="51A6D503" w14:textId="035D7EF0" w:rsidR="00450CFB" w:rsidRDefault="004E3599" w:rsidP="00010103">
            <w:pPr>
              <w:spacing w:before="60" w:after="60"/>
              <w:cnfStyle w:val="000000100000" w:firstRow="0" w:lastRow="0" w:firstColumn="0" w:lastColumn="0" w:oddVBand="0" w:evenVBand="0" w:oddHBand="1" w:evenHBand="0" w:firstRowFirstColumn="0" w:firstRowLastColumn="0" w:lastRowFirstColumn="0" w:lastRowLastColumn="0"/>
            </w:pPr>
            <w:r>
              <w:t>I’m going to have to be able to communicate with boys in order to get any works in, but after that, the skills I need are related to editing. I’m going to have to be able to critically edit boys work and be honest in my appraisal of them.</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t>What are the key dates, timelines and / or resources you will need?</w:t>
            </w:r>
          </w:p>
        </w:tc>
        <w:tc>
          <w:tcPr>
            <w:tcW w:w="5341" w:type="dxa"/>
          </w:tcPr>
          <w:p w14:paraId="7B87CCFA" w14:textId="067C4439" w:rsidR="00010103" w:rsidRDefault="00D06CBE" w:rsidP="00010103">
            <w:pPr>
              <w:spacing w:before="60" w:after="60"/>
              <w:cnfStyle w:val="000000000000" w:firstRow="0" w:lastRow="0" w:firstColumn="0" w:lastColumn="0" w:oddVBand="0" w:evenVBand="0" w:oddHBand="0" w:evenHBand="0" w:firstRowFirstColumn="0" w:firstRowLastColumn="0" w:lastRowFirstColumn="0" w:lastRowLastColumn="0"/>
            </w:pPr>
            <w:r>
              <w:t>We begin work on the New Enigma in term 1, and collect and edit pieces for two terms. Then in term 3, we speak with the communications department at our school, where they have a designer who can help us with designing the publication. It is then sent off to be printed and printed by term 4, for the end of school.</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5C80ED17" w:rsidR="005470A7" w:rsidRDefault="00386F99">
                            <w:r>
                              <w:t xml:space="preserve">The first thing I need to do is e-mail Dr Smith and let her know that I’m interested in being a part of the editing team for the New Enigma. After that, I’m going to have to work out with her as well as the other editors a time that we can all consistently meet. </w:t>
                            </w:r>
                            <w:r w:rsidR="00863E04">
                              <w:t xml:space="preserve">After we’ve decided that, we’ll meet at that time and talk about different aspects of the New Enigma that need work. </w:t>
                            </w:r>
                            <w:r w:rsidR="0052264D">
                              <w:t xml:space="preserve">In the time between our meetings, we’ll </w:t>
                            </w:r>
                            <w:r w:rsidR="008C42EA">
                              <w:t xml:space="preserve">try and get pieces from boys in the school, and after we’ve gathered enough for the New Enigma, we’ll begin to edit them with their authors. </w:t>
                            </w:r>
                            <w:r w:rsidR="002B5A25">
                              <w:t xml:space="preserve">In term 3, we’ll then design how the book will look to then print it with all the works in it by the end of the year. </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05D54E" id="_x0000_t202" coordsize="21600,21600" o:spt="202" path="m0,0l0,21600,21600,21600,21600,0xe">
                <v:stroke joinstyle="miter"/>
                <v:path gradientshapeok="t" o:connecttype="rect"/>
              </v:shapetype>
              <v:shap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5C80ED17" w:rsidR="005470A7" w:rsidRDefault="00386F99">
                      <w:r>
                        <w:t xml:space="preserve">The first thing I need to do is e-mail Dr Smith and let her know that I’m interested in being a part of the editing team for the New Enigma. After that, I’m going to have to work out with her as well as the other editors a time that we can all consistently meet. </w:t>
                      </w:r>
                      <w:r w:rsidR="00863E04">
                        <w:t xml:space="preserve">After we’ve decided that, we’ll meet at that time and talk about different aspects of the New Enigma that need work. </w:t>
                      </w:r>
                      <w:r w:rsidR="0052264D">
                        <w:t xml:space="preserve">In the time between our meetings, we’ll </w:t>
                      </w:r>
                      <w:r w:rsidR="008C42EA">
                        <w:t xml:space="preserve">try and get pieces from boys in the school, and after we’ve gathered enough for the New Enigma, we’ll begin to edit them with their authors. </w:t>
                      </w:r>
                      <w:r w:rsidR="002B5A25">
                        <w:t xml:space="preserve">In term 3, we’ll then design how the book will look to then print it with all the works in it by the end of the year. </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119749AB" w:rsidR="005470A7" w:rsidRDefault="00DE0A45" w:rsidP="00135CC0">
                            <w:r>
                              <w:t>I’ll reflect on this activity each semester, talking about the things that I’ve done and what I’</w:t>
                            </w:r>
                            <w:r w:rsidR="007F71F1">
                              <w:t>ve felt I’ve gotte</w:t>
                            </w:r>
                            <w:r>
                              <w:t xml:space="preserve">n out of it. </w:t>
                            </w:r>
                            <w:r w:rsidR="001D49FE">
                              <w:t>To demonstrate my involvement in the activity, I can upload some of the works that I’ve received and also show pictures of the New Enigma itself, showing the works that are in there and how the book as a whole looks.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119749AB" w:rsidR="005470A7" w:rsidRDefault="00DE0A45" w:rsidP="00135CC0">
                      <w:r>
                        <w:t>I’ll reflect on this activity each semester, talking about the things that I’ve done and what I’</w:t>
                      </w:r>
                      <w:r w:rsidR="007F71F1">
                        <w:t>ve felt I’ve gotte</w:t>
                      </w:r>
                      <w:r>
                        <w:t xml:space="preserve">n out of it. </w:t>
                      </w:r>
                      <w:r w:rsidR="001D49FE">
                        <w:t>To demonstrate my involvement in the activity, I can upload some of the works that I’ve received and also show pictures of the New Enigma itself, showing the works that are in there and how the book as a whole looks.</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8383" w14:textId="77777777" w:rsidR="00C94C3A" w:rsidRDefault="00C94C3A">
      <w:r>
        <w:separator/>
      </w:r>
    </w:p>
  </w:endnote>
  <w:endnote w:type="continuationSeparator" w:id="0">
    <w:p w14:paraId="32E9F0A7" w14:textId="77777777" w:rsidR="00C94C3A" w:rsidRDefault="00C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1D49FE">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3165C" w14:textId="77777777" w:rsidR="00C94C3A" w:rsidRDefault="00C94C3A">
      <w:r>
        <w:separator/>
      </w:r>
    </w:p>
  </w:footnote>
  <w:footnote w:type="continuationSeparator" w:id="0">
    <w:p w14:paraId="0284BA53" w14:textId="77777777" w:rsidR="00C94C3A" w:rsidRDefault="00C94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1B353CA"/>
    <w:multiLevelType w:val="hybridMultilevel"/>
    <w:tmpl w:val="6A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5"/>
  </w:num>
  <w:num w:numId="15">
    <w:abstractNumId w:val="12"/>
  </w:num>
  <w:num w:numId="16">
    <w:abstractNumId w:val="13"/>
  </w:num>
  <w:num w:numId="17">
    <w:abstractNumId w:val="17"/>
  </w:num>
  <w:num w:numId="18">
    <w:abstractNumId w:val="20"/>
  </w:num>
  <w:num w:numId="19">
    <w:abstractNumId w:val="11"/>
  </w:num>
  <w:num w:numId="20">
    <w:abstractNumId w:val="10"/>
  </w:num>
  <w:num w:numId="21">
    <w:abstractNumId w:val="18"/>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55204"/>
    <w:rsid w:val="00060408"/>
    <w:rsid w:val="00092F7F"/>
    <w:rsid w:val="000C1B60"/>
    <w:rsid w:val="000E3E39"/>
    <w:rsid w:val="0010577E"/>
    <w:rsid w:val="00123002"/>
    <w:rsid w:val="00131564"/>
    <w:rsid w:val="00133ACF"/>
    <w:rsid w:val="00135CC0"/>
    <w:rsid w:val="001374EC"/>
    <w:rsid w:val="00144C9D"/>
    <w:rsid w:val="001633A0"/>
    <w:rsid w:val="0019737B"/>
    <w:rsid w:val="001B397B"/>
    <w:rsid w:val="001D0E78"/>
    <w:rsid w:val="001D49FE"/>
    <w:rsid w:val="001D658F"/>
    <w:rsid w:val="001E6B6B"/>
    <w:rsid w:val="001F010B"/>
    <w:rsid w:val="00231911"/>
    <w:rsid w:val="00234AAF"/>
    <w:rsid w:val="00235194"/>
    <w:rsid w:val="0028625E"/>
    <w:rsid w:val="002975E9"/>
    <w:rsid w:val="002A40D4"/>
    <w:rsid w:val="002B587F"/>
    <w:rsid w:val="002B5A25"/>
    <w:rsid w:val="002D4843"/>
    <w:rsid w:val="002D5C9E"/>
    <w:rsid w:val="00313C42"/>
    <w:rsid w:val="00336191"/>
    <w:rsid w:val="003375B4"/>
    <w:rsid w:val="00361FDD"/>
    <w:rsid w:val="00385973"/>
    <w:rsid w:val="00386F99"/>
    <w:rsid w:val="003879E5"/>
    <w:rsid w:val="003A250F"/>
    <w:rsid w:val="003C16AE"/>
    <w:rsid w:val="003C51D5"/>
    <w:rsid w:val="003D5B91"/>
    <w:rsid w:val="003F4911"/>
    <w:rsid w:val="003F7070"/>
    <w:rsid w:val="004076D8"/>
    <w:rsid w:val="0044042B"/>
    <w:rsid w:val="00444C45"/>
    <w:rsid w:val="004457EB"/>
    <w:rsid w:val="00450CFB"/>
    <w:rsid w:val="004552C2"/>
    <w:rsid w:val="00457F40"/>
    <w:rsid w:val="0046083C"/>
    <w:rsid w:val="004619BF"/>
    <w:rsid w:val="00490E34"/>
    <w:rsid w:val="004941D5"/>
    <w:rsid w:val="004A1472"/>
    <w:rsid w:val="004A4BF9"/>
    <w:rsid w:val="004E0184"/>
    <w:rsid w:val="004E3599"/>
    <w:rsid w:val="00502729"/>
    <w:rsid w:val="0052264D"/>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E6B46"/>
    <w:rsid w:val="005F06C7"/>
    <w:rsid w:val="00614384"/>
    <w:rsid w:val="00616C7B"/>
    <w:rsid w:val="0063412F"/>
    <w:rsid w:val="00637996"/>
    <w:rsid w:val="0064390A"/>
    <w:rsid w:val="0065653A"/>
    <w:rsid w:val="00657630"/>
    <w:rsid w:val="006710B5"/>
    <w:rsid w:val="006D6925"/>
    <w:rsid w:val="006D7488"/>
    <w:rsid w:val="006F4D4A"/>
    <w:rsid w:val="00701430"/>
    <w:rsid w:val="00703ABD"/>
    <w:rsid w:val="00743906"/>
    <w:rsid w:val="00763160"/>
    <w:rsid w:val="00770BF5"/>
    <w:rsid w:val="00793A2D"/>
    <w:rsid w:val="007940CF"/>
    <w:rsid w:val="007A1BDA"/>
    <w:rsid w:val="007B5342"/>
    <w:rsid w:val="007C46D0"/>
    <w:rsid w:val="007E39CC"/>
    <w:rsid w:val="007E73B1"/>
    <w:rsid w:val="007E7B07"/>
    <w:rsid w:val="007F71F1"/>
    <w:rsid w:val="00813FF5"/>
    <w:rsid w:val="00827582"/>
    <w:rsid w:val="0084300B"/>
    <w:rsid w:val="008452E2"/>
    <w:rsid w:val="00863E04"/>
    <w:rsid w:val="00894746"/>
    <w:rsid w:val="008A387D"/>
    <w:rsid w:val="008B047D"/>
    <w:rsid w:val="008C42EA"/>
    <w:rsid w:val="008D2049"/>
    <w:rsid w:val="008F15F0"/>
    <w:rsid w:val="00907651"/>
    <w:rsid w:val="00921597"/>
    <w:rsid w:val="00934CFF"/>
    <w:rsid w:val="009507D2"/>
    <w:rsid w:val="009A1EAF"/>
    <w:rsid w:val="009B7D59"/>
    <w:rsid w:val="00A053A3"/>
    <w:rsid w:val="00A10792"/>
    <w:rsid w:val="00A46020"/>
    <w:rsid w:val="00A562F8"/>
    <w:rsid w:val="00A60F0F"/>
    <w:rsid w:val="00A67E09"/>
    <w:rsid w:val="00A87D27"/>
    <w:rsid w:val="00AA60C8"/>
    <w:rsid w:val="00AB289B"/>
    <w:rsid w:val="00AB3403"/>
    <w:rsid w:val="00AC0152"/>
    <w:rsid w:val="00AD3661"/>
    <w:rsid w:val="00AF63AA"/>
    <w:rsid w:val="00AF742A"/>
    <w:rsid w:val="00B0321B"/>
    <w:rsid w:val="00B62F22"/>
    <w:rsid w:val="00B6569A"/>
    <w:rsid w:val="00B82910"/>
    <w:rsid w:val="00B97FE2"/>
    <w:rsid w:val="00BB694E"/>
    <w:rsid w:val="00BD2C09"/>
    <w:rsid w:val="00BD40D4"/>
    <w:rsid w:val="00BE570F"/>
    <w:rsid w:val="00BE798E"/>
    <w:rsid w:val="00C04D48"/>
    <w:rsid w:val="00C2793E"/>
    <w:rsid w:val="00C3052C"/>
    <w:rsid w:val="00C92D66"/>
    <w:rsid w:val="00C94C3A"/>
    <w:rsid w:val="00C9515B"/>
    <w:rsid w:val="00CA2D52"/>
    <w:rsid w:val="00CA5AF4"/>
    <w:rsid w:val="00CB5DCD"/>
    <w:rsid w:val="00CF0299"/>
    <w:rsid w:val="00CF6BB1"/>
    <w:rsid w:val="00D06CBE"/>
    <w:rsid w:val="00D32D30"/>
    <w:rsid w:val="00D35D67"/>
    <w:rsid w:val="00D42E91"/>
    <w:rsid w:val="00D527D3"/>
    <w:rsid w:val="00D57A3D"/>
    <w:rsid w:val="00D618E2"/>
    <w:rsid w:val="00D64C57"/>
    <w:rsid w:val="00D66802"/>
    <w:rsid w:val="00DA29CA"/>
    <w:rsid w:val="00DB70A4"/>
    <w:rsid w:val="00DC066F"/>
    <w:rsid w:val="00DC2AAE"/>
    <w:rsid w:val="00DD3AB5"/>
    <w:rsid w:val="00DD5D38"/>
    <w:rsid w:val="00DE0A45"/>
    <w:rsid w:val="00DE53E0"/>
    <w:rsid w:val="00DF222D"/>
    <w:rsid w:val="00E01D84"/>
    <w:rsid w:val="00E15CDA"/>
    <w:rsid w:val="00E255E0"/>
    <w:rsid w:val="00E37E35"/>
    <w:rsid w:val="00E72430"/>
    <w:rsid w:val="00E741F8"/>
    <w:rsid w:val="00E7766B"/>
    <w:rsid w:val="00E927E1"/>
    <w:rsid w:val="00EA6CEC"/>
    <w:rsid w:val="00EE0CA7"/>
    <w:rsid w:val="00EE7366"/>
    <w:rsid w:val="00EF2303"/>
    <w:rsid w:val="00EF3BD4"/>
    <w:rsid w:val="00F12F76"/>
    <w:rsid w:val="00F237BF"/>
    <w:rsid w:val="00F2647C"/>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EB37-76D6-4041-AA54-8C2D649C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555</Words>
  <Characters>3165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29</cp:revision>
  <cp:lastPrinted>2015-02-09T04:59:00Z</cp:lastPrinted>
  <dcterms:created xsi:type="dcterms:W3CDTF">2016-02-15T02:56:00Z</dcterms:created>
  <dcterms:modified xsi:type="dcterms:W3CDTF">2016-10-01T06:32:00Z</dcterms:modified>
  <cp:category>Assessment Notification</cp:category>
</cp:coreProperties>
</file>